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301729">
        <w:t>3</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10"/>
        <w:gridCol w:w="832"/>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Стоимость за 1 месяц,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F3B06">
            <w:pPr>
              <w:jc w:val="center"/>
              <w:rPr>
                <w:sz w:val="22"/>
                <w:szCs w:val="22"/>
              </w:rPr>
            </w:pPr>
            <w:r>
              <w:rPr>
                <w:sz w:val="22"/>
                <w:szCs w:val="22"/>
              </w:rPr>
              <w:t xml:space="preserve">Стоимость </w:t>
            </w:r>
            <w:r w:rsidRPr="0007567B">
              <w:rPr>
                <w:sz w:val="22"/>
                <w:szCs w:val="22"/>
              </w:rPr>
              <w:t xml:space="preserve">за 1 месяц,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r w:rsidR="00301729"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ind w:left="58"/>
              <w:rPr>
                <w:sz w:val="22"/>
                <w:szCs w:val="22"/>
              </w:rPr>
            </w:pPr>
          </w:p>
        </w:tc>
        <w:tc>
          <w:tcPr>
            <w:tcW w:w="1732" w:type="pct"/>
            <w:tcBorders>
              <w:top w:val="single" w:sz="4" w:space="0" w:color="auto"/>
              <w:left w:val="single" w:sz="4" w:space="0" w:color="auto"/>
              <w:bottom w:val="single" w:sz="4" w:space="0" w:color="auto"/>
              <w:right w:val="single" w:sz="4" w:space="0" w:color="auto"/>
            </w:tcBorders>
          </w:tcPr>
          <w:p w:rsidR="00301729" w:rsidRPr="0007567B" w:rsidRDefault="002161A4" w:rsidP="00050292">
            <w:pPr>
              <w:rPr>
                <w:sz w:val="22"/>
                <w:szCs w:val="22"/>
              </w:rPr>
            </w:pPr>
            <w:r>
              <w:rPr>
                <w:sz w:val="22"/>
                <w:szCs w:val="22"/>
              </w:rPr>
              <w:t>Итого</w:t>
            </w:r>
          </w:p>
        </w:tc>
        <w:tc>
          <w:tcPr>
            <w:tcW w:w="388"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301729"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w:t>
      </w:r>
      <w:r w:rsidRPr="00301729">
        <w:rPr>
          <w:rFonts w:ascii="Times New Roman" w:hAnsi="Times New Roman"/>
        </w:rPr>
        <w:t xml:space="preserve">необходимыми для исполнения договора; </w:t>
      </w:r>
    </w:p>
    <w:p w:rsidR="00EE47E2" w:rsidRPr="00301729" w:rsidRDefault="00B028E9" w:rsidP="002F3B06">
      <w:pPr>
        <w:pStyle w:val="a3"/>
        <w:numPr>
          <w:ilvl w:val="0"/>
          <w:numId w:val="11"/>
        </w:numPr>
        <w:spacing w:before="0" w:line="280" w:lineRule="exact"/>
        <w:jc w:val="both"/>
        <w:rPr>
          <w:sz w:val="22"/>
          <w:szCs w:val="22"/>
        </w:rPr>
      </w:pPr>
      <w:r w:rsidRPr="00301729">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301729">
        <w:rPr>
          <w:sz w:val="22"/>
          <w:szCs w:val="22"/>
        </w:rPr>
        <w:t>;</w:t>
      </w:r>
    </w:p>
    <w:p w:rsidR="00087E5B" w:rsidRPr="00301729" w:rsidRDefault="00B028E9" w:rsidP="00B54D87">
      <w:pPr>
        <w:pStyle w:val="ConsNormal"/>
        <w:numPr>
          <w:ilvl w:val="0"/>
          <w:numId w:val="11"/>
        </w:numPr>
        <w:tabs>
          <w:tab w:val="num" w:pos="540"/>
        </w:tabs>
        <w:ind w:left="540"/>
        <w:jc w:val="both"/>
        <w:rPr>
          <w:rFonts w:ascii="Times New Roman" w:hAnsi="Times New Roman"/>
        </w:rPr>
      </w:pPr>
      <w:r>
        <w:rPr>
          <w:rFonts w:ascii="Times New Roman" w:hAnsi="Times New Roman"/>
        </w:rPr>
        <w:t>Д</w:t>
      </w:r>
      <w:r w:rsidR="00087E5B" w:rsidRPr="00087E5B">
        <w:rPr>
          <w:rFonts w:ascii="Times New Roman" w:hAnsi="Times New Roman"/>
        </w:rPr>
        <w:t xml:space="preserve">окументы, подтверждающие </w:t>
      </w:r>
      <w:r w:rsidR="00087E5B" w:rsidRPr="00301729">
        <w:rPr>
          <w:rFonts w:ascii="Times New Roman" w:hAnsi="Times New Roman"/>
        </w:rPr>
        <w:t xml:space="preserve">опыт </w:t>
      </w:r>
      <w:r w:rsidR="000A6DEF" w:rsidRPr="00301729">
        <w:rPr>
          <w:rFonts w:ascii="Times New Roman" w:hAnsi="Times New Roman"/>
        </w:rPr>
        <w:t>оказания услуг</w:t>
      </w:r>
      <w:r w:rsidR="00B27018" w:rsidRPr="00301729">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lastRenderedPageBreak/>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r>
      <w:r w:rsidRPr="004A7484">
        <w:rPr>
          <w:sz w:val="22"/>
          <w:szCs w:val="22"/>
        </w:rPr>
        <w:lastRenderedPageBreak/>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C54" w:rsidRDefault="00354C54">
      <w:r>
        <w:separator/>
      </w:r>
    </w:p>
  </w:endnote>
  <w:endnote w:type="continuationSeparator" w:id="0">
    <w:p w:rsidR="00354C54" w:rsidRDefault="00354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AB23D3">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642436">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C54" w:rsidRDefault="00354C54">
      <w:r>
        <w:separator/>
      </w:r>
    </w:p>
  </w:footnote>
  <w:footnote w:type="continuationSeparator" w:id="0">
    <w:p w:rsidR="00354C54" w:rsidRDefault="00354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4EBE5560"/>
    <w:lvl w:ilvl="0" w:tplc="DD0C9520">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10"/>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1A4"/>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465B"/>
    <w:rsid w:val="002B691E"/>
    <w:rsid w:val="002C5AD9"/>
    <w:rsid w:val="002D102E"/>
    <w:rsid w:val="002D1807"/>
    <w:rsid w:val="002D4534"/>
    <w:rsid w:val="002E18FE"/>
    <w:rsid w:val="002E75D1"/>
    <w:rsid w:val="002F3A66"/>
    <w:rsid w:val="002F3B06"/>
    <w:rsid w:val="002F5B43"/>
    <w:rsid w:val="00301728"/>
    <w:rsid w:val="00301729"/>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54C54"/>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3623"/>
    <w:rsid w:val="005A639A"/>
    <w:rsid w:val="005B3C46"/>
    <w:rsid w:val="005B776D"/>
    <w:rsid w:val="005C372A"/>
    <w:rsid w:val="005D20FE"/>
    <w:rsid w:val="005D4797"/>
    <w:rsid w:val="005D4B2C"/>
    <w:rsid w:val="005E098C"/>
    <w:rsid w:val="005E12A3"/>
    <w:rsid w:val="005E148A"/>
    <w:rsid w:val="005F5D72"/>
    <w:rsid w:val="005F6A25"/>
    <w:rsid w:val="005F714E"/>
    <w:rsid w:val="005F736C"/>
    <w:rsid w:val="006109FA"/>
    <w:rsid w:val="006129A5"/>
    <w:rsid w:val="00613AD1"/>
    <w:rsid w:val="00617AD4"/>
    <w:rsid w:val="00620BCB"/>
    <w:rsid w:val="00621389"/>
    <w:rsid w:val="006215C3"/>
    <w:rsid w:val="0062259A"/>
    <w:rsid w:val="006262D4"/>
    <w:rsid w:val="006279C3"/>
    <w:rsid w:val="0063258D"/>
    <w:rsid w:val="006334A7"/>
    <w:rsid w:val="0063372D"/>
    <w:rsid w:val="00642436"/>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3D3"/>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69FD"/>
    <w:rsid w:val="00C671B8"/>
    <w:rsid w:val="00C7385B"/>
    <w:rsid w:val="00C77648"/>
    <w:rsid w:val="00C80C88"/>
    <w:rsid w:val="00C810E2"/>
    <w:rsid w:val="00C84EBE"/>
    <w:rsid w:val="00C8581F"/>
    <w:rsid w:val="00C87D30"/>
    <w:rsid w:val="00C90A07"/>
    <w:rsid w:val="00C91074"/>
    <w:rsid w:val="00C94A73"/>
    <w:rsid w:val="00CA7D57"/>
    <w:rsid w:val="00CB052F"/>
    <w:rsid w:val="00CB335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3396"/>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1765</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15</cp:revision>
  <cp:lastPrinted>2021-02-04T12:32:00Z</cp:lastPrinted>
  <dcterms:created xsi:type="dcterms:W3CDTF">2021-12-02T10:18:00Z</dcterms:created>
  <dcterms:modified xsi:type="dcterms:W3CDTF">2023-05-03T06:54:00Z</dcterms:modified>
</cp:coreProperties>
</file>