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C6A41">
        <w:t>_</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A2613A" w:rsidRDefault="00C17A44" w:rsidP="00313DC0">
      <w:r w:rsidRPr="00C90A07">
        <w:t xml:space="preserve"> предлагаем </w:t>
      </w:r>
      <w:r w:rsidRPr="00A2613A">
        <w:t>поставить товар:</w:t>
      </w:r>
    </w:p>
    <w:p w:rsidR="002A30DE" w:rsidRPr="00C90A07" w:rsidRDefault="002A30DE" w:rsidP="00313DC0">
      <w:pPr>
        <w:rPr>
          <w:i/>
          <w:iCs/>
        </w:rPr>
      </w:pPr>
    </w:p>
    <w:tbl>
      <w:tblPr>
        <w:tblW w:w="5416"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9"/>
        <w:gridCol w:w="1808"/>
        <w:gridCol w:w="1636"/>
        <w:gridCol w:w="1343"/>
        <w:gridCol w:w="581"/>
        <w:gridCol w:w="680"/>
        <w:gridCol w:w="968"/>
        <w:gridCol w:w="1050"/>
        <w:gridCol w:w="1071"/>
      </w:tblGrid>
      <w:tr w:rsidR="000D521C" w:rsidRPr="00C90A07" w:rsidTr="002520B3">
        <w:trPr>
          <w:trHeight w:val="835"/>
        </w:trPr>
        <w:tc>
          <w:tcPr>
            <w:tcW w:w="186"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21"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1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58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9"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2520B3">
        <w:trPr>
          <w:trHeight w:val="192"/>
        </w:trPr>
        <w:tc>
          <w:tcPr>
            <w:tcW w:w="186"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21"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1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58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23"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9"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9"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2520B3">
        <w:trPr>
          <w:trHeight w:val="18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255"/>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639E" w:rsidRPr="005D369B" w:rsidRDefault="00C17A44" w:rsidP="005D369B">
      <w:pPr>
        <w:pStyle w:val="a3"/>
        <w:spacing w:before="0"/>
        <w:jc w:val="both"/>
        <w:rPr>
          <w:sz w:val="22"/>
          <w:szCs w:val="22"/>
        </w:rPr>
      </w:pPr>
      <w:proofErr w:type="gramStart"/>
      <w:r w:rsidRPr="004A7484">
        <w:rPr>
          <w:sz w:val="22"/>
          <w:szCs w:val="22"/>
        </w:rPr>
        <w:t xml:space="preserve">- </w:t>
      </w:r>
      <w:r w:rsidR="00CE639E"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00CE639E" w:rsidRPr="005D369B">
          <w:rPr>
            <w:sz w:val="22"/>
            <w:szCs w:val="22"/>
          </w:rPr>
          <w:t>статьями 289</w:t>
        </w:r>
      </w:hyperlink>
      <w:r w:rsidR="00CE639E" w:rsidRPr="005D369B">
        <w:rPr>
          <w:sz w:val="22"/>
          <w:szCs w:val="22"/>
        </w:rPr>
        <w:t>, </w:t>
      </w:r>
      <w:hyperlink r:id="rId9" w:anchor="dst2054" w:history="1">
        <w:r w:rsidR="00CE639E" w:rsidRPr="005D369B">
          <w:rPr>
            <w:sz w:val="22"/>
            <w:szCs w:val="22"/>
          </w:rPr>
          <w:t>290</w:t>
        </w:r>
      </w:hyperlink>
      <w:r w:rsidR="00CE639E" w:rsidRPr="005D369B">
        <w:rPr>
          <w:sz w:val="22"/>
          <w:szCs w:val="22"/>
        </w:rPr>
        <w:t>, </w:t>
      </w:r>
      <w:hyperlink r:id="rId10" w:anchor="dst2072" w:history="1">
        <w:r w:rsidR="00CE639E" w:rsidRPr="005D369B">
          <w:rPr>
            <w:sz w:val="22"/>
            <w:szCs w:val="22"/>
          </w:rPr>
          <w:t>291</w:t>
        </w:r>
      </w:hyperlink>
      <w:r w:rsidR="00CE639E" w:rsidRPr="005D369B">
        <w:rPr>
          <w:sz w:val="22"/>
          <w:szCs w:val="22"/>
        </w:rPr>
        <w:t>, </w:t>
      </w:r>
      <w:hyperlink r:id="rId11" w:anchor="dst2086" w:history="1">
        <w:r w:rsidR="00CE639E" w:rsidRPr="005D369B">
          <w:rPr>
            <w:sz w:val="22"/>
            <w:szCs w:val="22"/>
          </w:rPr>
          <w:t>291.1</w:t>
        </w:r>
      </w:hyperlink>
      <w:r w:rsidR="00CE639E"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E639E"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7A44" w:rsidRPr="004469EC" w:rsidRDefault="00CE639E" w:rsidP="00313DC0">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C17A44" w:rsidRDefault="00C17A44" w:rsidP="005D369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639E" w:rsidRPr="005D369B" w:rsidRDefault="00CE639E" w:rsidP="005D369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CE639E" w:rsidRPr="005D369B" w:rsidRDefault="00CE639E" w:rsidP="005D369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043082" w:rsidRPr="005D369B" w:rsidRDefault="00043082" w:rsidP="005D369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043082" w:rsidRPr="005D369B" w:rsidRDefault="00043082" w:rsidP="005D369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3"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C17A44" w:rsidRPr="004A7484" w:rsidRDefault="00C17A44" w:rsidP="005D369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5D369B">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14"/>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5E" w:rsidRDefault="00D7145E">
      <w:r>
        <w:separator/>
      </w:r>
    </w:p>
  </w:endnote>
  <w:endnote w:type="continuationSeparator" w:id="0">
    <w:p w:rsidR="00D7145E" w:rsidRDefault="00D71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490069">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1C6A41">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5E" w:rsidRDefault="00D7145E">
      <w:r>
        <w:separator/>
      </w:r>
    </w:p>
  </w:footnote>
  <w:footnote w:type="continuationSeparator" w:id="0">
    <w:p w:rsidR="00D7145E" w:rsidRDefault="00D7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3082"/>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A73EA"/>
    <w:rsid w:val="001B2794"/>
    <w:rsid w:val="001B4E89"/>
    <w:rsid w:val="001C257A"/>
    <w:rsid w:val="001C2C0F"/>
    <w:rsid w:val="001C38B5"/>
    <w:rsid w:val="001C6A41"/>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121E"/>
    <w:rsid w:val="002357D4"/>
    <w:rsid w:val="00237814"/>
    <w:rsid w:val="00240039"/>
    <w:rsid w:val="00240C3F"/>
    <w:rsid w:val="00241A58"/>
    <w:rsid w:val="00246E42"/>
    <w:rsid w:val="00251C2A"/>
    <w:rsid w:val="002520B3"/>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0C24"/>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0069"/>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867"/>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369B"/>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8F5198"/>
    <w:rsid w:val="009125B0"/>
    <w:rsid w:val="009163D8"/>
    <w:rsid w:val="00925BC4"/>
    <w:rsid w:val="00927C65"/>
    <w:rsid w:val="009300FB"/>
    <w:rsid w:val="00941911"/>
    <w:rsid w:val="009454AF"/>
    <w:rsid w:val="0094638A"/>
    <w:rsid w:val="00962CF5"/>
    <w:rsid w:val="00965F67"/>
    <w:rsid w:val="00966435"/>
    <w:rsid w:val="009725CE"/>
    <w:rsid w:val="00983B19"/>
    <w:rsid w:val="00986617"/>
    <w:rsid w:val="00990173"/>
    <w:rsid w:val="009904B8"/>
    <w:rsid w:val="00990C7F"/>
    <w:rsid w:val="00993AC2"/>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13A"/>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0C7B"/>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720"/>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133C"/>
    <w:rsid w:val="00CE4BE2"/>
    <w:rsid w:val="00CE639E"/>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145E"/>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7cb5d9b7f75fd72853e0610988cc9f6fdd08802e/" TargetMode="External"/><Relationship Id="rId13"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60025/f61ff313afecf81a91a43d729c2df55c1d6a15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4861/a74ca4364cb5aa0d95db2b7636907af350ab52c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44861/0108932a3c6234f73590b25799588ada492deb23/" TargetMode="External"/><Relationship Id="rId4" Type="http://schemas.openxmlformats.org/officeDocument/2006/relationships/settings" Target="settings.xml"/><Relationship Id="rId9" Type="http://schemas.openxmlformats.org/officeDocument/2006/relationships/hyperlink" Target="https://www.consultant.ru/document/cons_doc_LAW_444861/6411e005f539b666d6f360f202cb7b1c23fe27c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D95D6-5865-40A6-80A8-7592E7F6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2024-01-15T06:35:00Z</dcterms:created>
  <dcterms:modified xsi:type="dcterms:W3CDTF">2024-01-15T06:35:00Z</dcterms:modified>
</cp:coreProperties>
</file>