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362F6">
        <w:rPr>
          <w:iCs/>
        </w:rPr>
        <w:t>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D362F6">
        <w:rPr>
          <w:iCs/>
        </w:rPr>
        <w:t>Устава</w:t>
      </w:r>
      <w:r w:rsidR="00FA13EE" w:rsidRPr="005C4254">
        <w:rPr>
          <w:iCs/>
        </w:rPr>
        <w:t xml:space="preserve">, с одной стороны, </w:t>
      </w:r>
      <w:r w:rsidR="00FA13EE">
        <w:rPr>
          <w:iCs/>
        </w:rPr>
        <w:t xml:space="preserve">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514A85">
        <w:rPr>
          <w:rFonts w:eastAsia="Times New Roman"/>
          <w:kern w:val="0"/>
          <w:sz w:val="24"/>
          <w:szCs w:val="24"/>
        </w:rPr>
        <w:t>полиэтиленовые пакеты</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r w:rsidR="00FB0EB0" w:rsidRPr="005F28CD">
        <w:rPr>
          <w:sz w:val="24"/>
          <w:szCs w:val="24"/>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w:t>
      </w:r>
      <w:r w:rsidR="00FB0EB0">
        <w:rPr>
          <w:sz w:val="24"/>
          <w:szCs w:val="24"/>
        </w:rPr>
        <w:t>,</w:t>
      </w:r>
      <w:r w:rsidR="00FB0EB0" w:rsidRPr="005F28CD">
        <w:rPr>
          <w:sz w:val="24"/>
          <w:szCs w:val="24"/>
        </w:rPr>
        <w:t xml:space="preserve">  установленного </w:t>
      </w:r>
      <w:r w:rsidR="00FB0EB0">
        <w:rPr>
          <w:sz w:val="24"/>
          <w:szCs w:val="24"/>
        </w:rPr>
        <w:t>р</w:t>
      </w:r>
      <w:r w:rsidR="00FB0EB0" w:rsidRPr="005F28CD">
        <w:rPr>
          <w:sz w:val="24"/>
          <w:szCs w:val="24"/>
        </w:rPr>
        <w:t>азделом 13 настоящего Договора, в рабочие дни (с понедельника по пятницу, исключая нерабочие праздничные дни) с</w:t>
      </w:r>
      <w:r w:rsidR="00FB0EB0">
        <w:rPr>
          <w:sz w:val="24"/>
          <w:szCs w:val="24"/>
        </w:rPr>
        <w:t xml:space="preserve"> </w:t>
      </w:r>
      <w:r w:rsidR="00FB0EB0" w:rsidRPr="005F28CD">
        <w:rPr>
          <w:sz w:val="24"/>
          <w:szCs w:val="24"/>
        </w:rPr>
        <w:t>8-00 до 1</w:t>
      </w:r>
      <w:r w:rsidR="00FB1FFE">
        <w:rPr>
          <w:sz w:val="24"/>
          <w:szCs w:val="24"/>
        </w:rPr>
        <w:t>5</w:t>
      </w:r>
      <w:r w:rsidR="00FB0EB0" w:rsidRPr="005F28CD">
        <w:rPr>
          <w:sz w:val="24"/>
          <w:szCs w:val="24"/>
        </w:rPr>
        <w:t>-00. Срок исполнения каждой заявки не должен составлять более 3 (трёх) календарных дней с момента получения Поставщиком заявки Покупателя, при условии наличия Товара на складе Поставщика, при отсутствии - в срок не позднее 15 (пятнадцати)</w:t>
      </w:r>
      <w:r w:rsidR="00FB0EB0">
        <w:rPr>
          <w:sz w:val="24"/>
          <w:szCs w:val="24"/>
        </w:rPr>
        <w:t xml:space="preserve"> </w:t>
      </w:r>
      <w:r w:rsidR="00FB0EB0" w:rsidRPr="005F28CD">
        <w:rPr>
          <w:sz w:val="24"/>
          <w:szCs w:val="24"/>
        </w:rPr>
        <w:t>календарных дней с момента получения заявки Покупателя.  Поставщик вправе  произвести досрочную поставку партии Товара, указанного в заявке Покупателя. Заявки направляются в электронной форме посредств</w:t>
      </w:r>
      <w:r w:rsidR="00FB0EB0">
        <w:rPr>
          <w:sz w:val="24"/>
          <w:szCs w:val="24"/>
        </w:rPr>
        <w:t>о</w:t>
      </w:r>
      <w:r w:rsidR="00FB0EB0" w:rsidRPr="005F28CD">
        <w:rPr>
          <w:sz w:val="24"/>
          <w:szCs w:val="24"/>
        </w:rPr>
        <w:t>м автоматизированной системы заказов «Электронный ордер».</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w:t>
      </w:r>
      <w:r w:rsidR="00514A85">
        <w:t xml:space="preserve">. </w:t>
      </w:r>
      <w:proofErr w:type="spellStart"/>
      <w:r w:rsidR="00514A85">
        <w:t>Агибалова</w:t>
      </w:r>
      <w:proofErr w:type="spellEnd"/>
      <w:r w:rsidR="00514A85">
        <w:t>, 12</w:t>
      </w:r>
      <w:r w:rsidR="002C7888" w:rsidRPr="002C7888">
        <w:t>.</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 xml:space="preserve">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w:t>
      </w:r>
      <w:r w:rsidR="00482F31">
        <w:rPr>
          <w:rFonts w:ascii="Times New Roman" w:eastAsia="Calibri" w:hAnsi="Times New Roman"/>
          <w:kern w:val="3"/>
          <w:sz w:val="24"/>
          <w:szCs w:val="24"/>
        </w:rPr>
        <w:t>не более</w:t>
      </w:r>
      <w:r w:rsidRPr="002C7888">
        <w:rPr>
          <w:rFonts w:ascii="Times New Roman" w:eastAsia="Calibri" w:hAnsi="Times New Roman"/>
          <w:kern w:val="3"/>
          <w:sz w:val="24"/>
          <w:szCs w:val="24"/>
        </w:rPr>
        <w:t xml:space="preserve"> __________________ (___________________________________) 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w:t>
      </w:r>
      <w:r w:rsidR="00D13E76" w:rsidRPr="00F84BC9">
        <w:t>партии</w:t>
      </w:r>
      <w:r w:rsidR="00D13E76">
        <w:t xml:space="preserve"> </w:t>
      </w:r>
      <w:r w:rsidR="00CB0E64" w:rsidRPr="005F28CD">
        <w:t xml:space="preserve">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каждой конкретной партии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D362F6" w:rsidRPr="00D362F6">
        <w:rPr>
          <w:i/>
          <w:highlight w:val="yellow"/>
        </w:rPr>
        <w:t>(выбрать)</w:t>
      </w:r>
      <w:r w:rsidR="00D362F6">
        <w:t xml:space="preserve"> </w:t>
      </w:r>
      <w:r w:rsidR="00CB0E64" w:rsidRPr="005F28CD">
        <w:t>путем перечисления денежных средств на расчетный счет Поставщика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lastRenderedPageBreak/>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 xml:space="preserve">1.1. В сроки, установленные настоящим Договором, осуществлять поставку Товара в количестве, предусмотренном </w:t>
      </w:r>
      <w:r w:rsidR="00D13E76">
        <w:rPr>
          <w:rFonts w:ascii="Times New Roman" w:hAnsi="Times New Roman" w:cs="Times New Roman"/>
          <w:kern w:val="3"/>
          <w:sz w:val="24"/>
          <w:szCs w:val="24"/>
        </w:rPr>
        <w:t>заявк</w:t>
      </w:r>
      <w:r w:rsidR="00902F9E">
        <w:rPr>
          <w:rFonts w:ascii="Times New Roman" w:hAnsi="Times New Roman" w:cs="Times New Roman"/>
          <w:kern w:val="3"/>
          <w:sz w:val="24"/>
          <w:szCs w:val="24"/>
        </w:rPr>
        <w:t>ой</w:t>
      </w:r>
      <w:r w:rsidR="00D13E76">
        <w:rPr>
          <w:rFonts w:ascii="Times New Roman" w:hAnsi="Times New Roman" w:cs="Times New Roman"/>
          <w:kern w:val="3"/>
          <w:sz w:val="24"/>
          <w:szCs w:val="24"/>
        </w:rPr>
        <w:t xml:space="preserve"> </w:t>
      </w:r>
      <w:r w:rsidR="00F25E5F">
        <w:rPr>
          <w:rFonts w:ascii="Times New Roman" w:hAnsi="Times New Roman" w:cs="Times New Roman"/>
          <w:kern w:val="3"/>
          <w:sz w:val="24"/>
          <w:szCs w:val="24"/>
        </w:rPr>
        <w:t>на поставку Товара</w:t>
      </w:r>
      <w:r w:rsidR="00D13E76">
        <w:rPr>
          <w:rFonts w:ascii="Times New Roman" w:hAnsi="Times New Roman" w:cs="Times New Roman"/>
          <w:kern w:val="3"/>
          <w:sz w:val="24"/>
          <w:szCs w:val="24"/>
        </w:rPr>
        <w:t xml:space="preserve">, направленной посредством автоматизированной системы заказов «Электронный ордер»,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w:t>
      </w:r>
      <w:r w:rsidR="0072572A">
        <w:t xml:space="preserve">, </w:t>
      </w:r>
      <w:r w:rsidRPr="00DE0826">
        <w:t>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 (при наличии), инструкции по применению товара и  иную необходимую документацию.</w:t>
      </w:r>
      <w:proofErr w:type="gramEnd"/>
      <w:r w:rsidRPr="00DE0826">
        <w:t xml:space="preserve">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D362F6">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w:t>
      </w:r>
      <w:proofErr w:type="gramStart"/>
      <w:r>
        <w:rPr>
          <w:rFonts w:ascii="Times New Roman" w:hAnsi="Times New Roman"/>
          <w:sz w:val="24"/>
          <w:szCs w:val="24"/>
        </w:rPr>
        <w:t>о-</w:t>
      </w:r>
      <w:proofErr w:type="gramEnd"/>
      <w:r>
        <w:rPr>
          <w:rFonts w:ascii="Times New Roman" w:hAnsi="Times New Roman"/>
          <w:sz w:val="24"/>
          <w:szCs w:val="24"/>
        </w:rPr>
        <w:t xml:space="preserve">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lastRenderedPageBreak/>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w:t>
      </w:r>
      <w:r w:rsidRPr="00DE0826">
        <w:rPr>
          <w:rFonts w:ascii="Times New Roman" w:hAnsi="Times New Roman"/>
          <w:sz w:val="24"/>
          <w:szCs w:val="24"/>
        </w:rPr>
        <w:lastRenderedPageBreak/>
        <w:t xml:space="preserve">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w:t>
      </w:r>
      <w:r w:rsidRPr="00DE0826">
        <w:rPr>
          <w:sz w:val="24"/>
          <w:szCs w:val="24"/>
        </w:rPr>
        <w:lastRenderedPageBreak/>
        <w:t>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9.3. Сторона, которая не исполняет свои обязательства вследствие действия обстоятельств непреодолимой силы, должна по возможности в трехдневный срок </w:t>
      </w:r>
      <w:r w:rsidRPr="00DE0826">
        <w:rPr>
          <w:rFonts w:ascii="Times New Roman" w:hAnsi="Times New Roman" w:cs="Times New Roman"/>
          <w:sz w:val="24"/>
          <w:szCs w:val="24"/>
        </w:rPr>
        <w:lastRenderedPageBreak/>
        <w:t>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DE0826">
        <w:rPr>
          <w:rFonts w:ascii="Times New Roman" w:hAnsi="Times New Roman"/>
          <w:sz w:val="24"/>
          <w:szCs w:val="24"/>
        </w:rPr>
        <w:lastRenderedPageBreak/>
        <w:t>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proofErr w:type="spellStart"/>
      <w:r w:rsidR="00D362F6">
        <w:rPr>
          <w:rFonts w:ascii="Times New Roman" w:hAnsi="Times New Roman"/>
          <w:sz w:val="24"/>
          <w:szCs w:val="24"/>
        </w:rPr>
        <w:t>телефон:</w:t>
      </w:r>
      <w:r w:rsidRPr="00DE0826">
        <w:rPr>
          <w:rFonts w:ascii="Times New Roman" w:hAnsi="Times New Roman"/>
          <w:sz w:val="24"/>
          <w:szCs w:val="24"/>
        </w:rPr>
        <w:t>______________________</w:t>
      </w:r>
      <w:proofErr w:type="spellEnd"/>
      <w:r w:rsidRPr="00DE0826">
        <w:rPr>
          <w:rFonts w:ascii="Times New Roman" w:hAnsi="Times New Roman"/>
          <w:sz w:val="24"/>
          <w:szCs w:val="24"/>
        </w:rPr>
        <w:t xml:space="preserve">, </w:t>
      </w:r>
      <w:r w:rsidR="00D362F6">
        <w:rPr>
          <w:rFonts w:ascii="Times New Roman" w:hAnsi="Times New Roman"/>
          <w:sz w:val="24"/>
          <w:szCs w:val="24"/>
        </w:rPr>
        <w:t xml:space="preserve">электронная </w:t>
      </w:r>
      <w:proofErr w:type="spellStart"/>
      <w:r w:rsidR="00D362F6">
        <w:rPr>
          <w:rFonts w:ascii="Times New Roman" w:hAnsi="Times New Roman"/>
          <w:sz w:val="24"/>
          <w:szCs w:val="24"/>
        </w:rPr>
        <w:t>почта:_________________</w:t>
      </w:r>
      <w:proofErr w:type="spellEnd"/>
      <w:r w:rsidRPr="00DE0826">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w:t>
      </w:r>
      <w:r w:rsidRPr="00DE0826">
        <w:rPr>
          <w:rFonts w:ascii="Times New Roman" w:hAnsi="Times New Roman"/>
          <w:sz w:val="24"/>
          <w:szCs w:val="24"/>
        </w:rPr>
        <w:lastRenderedPageBreak/>
        <w:t>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D362F6" w:rsidRDefault="001F0527" w:rsidP="001F0527">
            <w:pPr>
              <w:jc w:val="both"/>
              <w:rPr>
                <w:rFonts w:ascii="Times New Roman" w:hAnsi="Times New Roman"/>
                <w:bCs/>
                <w:sz w:val="24"/>
                <w:szCs w:val="24"/>
              </w:rPr>
            </w:pPr>
            <w:r w:rsidRPr="00D362F6">
              <w:rPr>
                <w:rFonts w:ascii="Times New Roman" w:hAnsi="Times New Roman"/>
                <w:bCs/>
                <w:sz w:val="24"/>
                <w:szCs w:val="24"/>
              </w:rPr>
              <w:t>____________/</w:t>
            </w:r>
            <w:r w:rsidR="00D362F6" w:rsidRPr="00D362F6">
              <w:rPr>
                <w:rFonts w:ascii="Times New Roman" w:hAnsi="Times New Roman"/>
                <w:bCs/>
                <w:sz w:val="24"/>
                <w:szCs w:val="24"/>
              </w:rPr>
              <w:t>Нечаева Т. Ю.</w:t>
            </w:r>
            <w:r w:rsidRPr="00D362F6">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D362F6" w:rsidRDefault="00D362F6" w:rsidP="00C13137">
      <w:pPr>
        <w:pStyle w:val="TextBody0"/>
        <w:rPr>
          <w:rFonts w:ascii="Times New Roman" w:hAnsi="Times New Roman" w:cs="Times New Roman"/>
          <w:b/>
          <w:bCs/>
          <w:spacing w:val="0"/>
          <w:sz w:val="24"/>
          <w:szCs w:val="24"/>
        </w:rPr>
      </w:pPr>
    </w:p>
    <w:p w:rsidR="0072572A" w:rsidRDefault="0072572A" w:rsidP="00C13137">
      <w:pPr>
        <w:pStyle w:val="TextBody0"/>
        <w:rPr>
          <w:rFonts w:ascii="Times New Roman" w:hAnsi="Times New Roman" w:cs="Times New Roman"/>
          <w:b/>
          <w:bCs/>
          <w:spacing w:val="0"/>
          <w:sz w:val="24"/>
          <w:szCs w:val="24"/>
        </w:rPr>
      </w:pPr>
    </w:p>
    <w:p w:rsidR="0072572A" w:rsidRDefault="0072572A" w:rsidP="00C13137">
      <w:pPr>
        <w:pStyle w:val="TextBody0"/>
        <w:rPr>
          <w:rFonts w:ascii="Times New Roman" w:hAnsi="Times New Roman" w:cs="Times New Roman"/>
          <w:b/>
          <w:bCs/>
          <w:spacing w:val="0"/>
          <w:sz w:val="24"/>
          <w:szCs w:val="24"/>
        </w:rPr>
      </w:pPr>
    </w:p>
    <w:p w:rsidR="0072572A" w:rsidRDefault="0072572A" w:rsidP="00C13137">
      <w:pPr>
        <w:pStyle w:val="TextBody0"/>
        <w:rPr>
          <w:rFonts w:ascii="Times New Roman" w:hAnsi="Times New Roman" w:cs="Times New Roman"/>
          <w:b/>
          <w:bCs/>
          <w:spacing w:val="0"/>
          <w:sz w:val="24"/>
          <w:szCs w:val="24"/>
        </w:rPr>
      </w:pPr>
    </w:p>
    <w:p w:rsidR="0072572A" w:rsidRDefault="0072572A" w:rsidP="00C13137">
      <w:pPr>
        <w:pStyle w:val="TextBody0"/>
        <w:rPr>
          <w:rFonts w:ascii="Times New Roman" w:hAnsi="Times New Roman" w:cs="Times New Roman"/>
          <w:b/>
          <w:bCs/>
          <w:spacing w:val="0"/>
          <w:sz w:val="24"/>
          <w:szCs w:val="24"/>
        </w:rPr>
      </w:pPr>
    </w:p>
    <w:p w:rsidR="0072572A" w:rsidRDefault="0072572A"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lastRenderedPageBreak/>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D362F6" w:rsidRPr="00D362F6">
              <w:rPr>
                <w:rFonts w:ascii="Times New Roman" w:hAnsi="Times New Roman"/>
                <w:bCs/>
                <w:sz w:val="24"/>
                <w:szCs w:val="24"/>
              </w:rPr>
              <w:t>Нечаева Т. Ю.</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63" w:rsidRDefault="00FA0163" w:rsidP="00902F9E">
      <w:pPr>
        <w:spacing w:after="0" w:line="240" w:lineRule="auto"/>
      </w:pPr>
      <w:r>
        <w:separator/>
      </w:r>
    </w:p>
  </w:endnote>
  <w:endnote w:type="continuationSeparator" w:id="0">
    <w:p w:rsidR="00FA0163" w:rsidRDefault="00FA0163"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63" w:rsidRDefault="00FA0163" w:rsidP="00902F9E">
      <w:pPr>
        <w:spacing w:after="0" w:line="240" w:lineRule="auto"/>
      </w:pPr>
      <w:r>
        <w:separator/>
      </w:r>
    </w:p>
  </w:footnote>
  <w:footnote w:type="continuationSeparator" w:id="0">
    <w:p w:rsidR="00FA0163" w:rsidRDefault="00FA0163"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82F31"/>
    <w:rsid w:val="00492F39"/>
    <w:rsid w:val="004E37AF"/>
    <w:rsid w:val="00514A85"/>
    <w:rsid w:val="005472EC"/>
    <w:rsid w:val="005500ED"/>
    <w:rsid w:val="0055698E"/>
    <w:rsid w:val="00561072"/>
    <w:rsid w:val="005B7CB6"/>
    <w:rsid w:val="005C68F2"/>
    <w:rsid w:val="005D4B96"/>
    <w:rsid w:val="005E6F35"/>
    <w:rsid w:val="005F4B48"/>
    <w:rsid w:val="00657AD8"/>
    <w:rsid w:val="006847FA"/>
    <w:rsid w:val="006F31CA"/>
    <w:rsid w:val="0072572A"/>
    <w:rsid w:val="007346B7"/>
    <w:rsid w:val="00777436"/>
    <w:rsid w:val="00792D6A"/>
    <w:rsid w:val="007C3515"/>
    <w:rsid w:val="007C7AF6"/>
    <w:rsid w:val="007F3380"/>
    <w:rsid w:val="008330B1"/>
    <w:rsid w:val="008519EA"/>
    <w:rsid w:val="008C69AC"/>
    <w:rsid w:val="00900758"/>
    <w:rsid w:val="00902F9E"/>
    <w:rsid w:val="00911580"/>
    <w:rsid w:val="0091591D"/>
    <w:rsid w:val="009168F8"/>
    <w:rsid w:val="009B2D6D"/>
    <w:rsid w:val="00A23154"/>
    <w:rsid w:val="00A27FE1"/>
    <w:rsid w:val="00A4154F"/>
    <w:rsid w:val="00A57E4E"/>
    <w:rsid w:val="00A83B5A"/>
    <w:rsid w:val="00B91A7A"/>
    <w:rsid w:val="00BB71FA"/>
    <w:rsid w:val="00BC6D86"/>
    <w:rsid w:val="00BD3441"/>
    <w:rsid w:val="00BE72D2"/>
    <w:rsid w:val="00BF39F4"/>
    <w:rsid w:val="00BF70CA"/>
    <w:rsid w:val="00C025CE"/>
    <w:rsid w:val="00C0278F"/>
    <w:rsid w:val="00C054D4"/>
    <w:rsid w:val="00C13137"/>
    <w:rsid w:val="00C573FC"/>
    <w:rsid w:val="00C71A39"/>
    <w:rsid w:val="00C977E8"/>
    <w:rsid w:val="00CB0E64"/>
    <w:rsid w:val="00CB6B52"/>
    <w:rsid w:val="00CF005E"/>
    <w:rsid w:val="00D1011D"/>
    <w:rsid w:val="00D13E76"/>
    <w:rsid w:val="00D16054"/>
    <w:rsid w:val="00D362F6"/>
    <w:rsid w:val="00D64089"/>
    <w:rsid w:val="00DB0265"/>
    <w:rsid w:val="00DD3754"/>
    <w:rsid w:val="00DF0B53"/>
    <w:rsid w:val="00DF43D8"/>
    <w:rsid w:val="00E4141A"/>
    <w:rsid w:val="00EE0596"/>
    <w:rsid w:val="00F25E5F"/>
    <w:rsid w:val="00F43B31"/>
    <w:rsid w:val="00F84BC9"/>
    <w:rsid w:val="00F86306"/>
    <w:rsid w:val="00FA0163"/>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10</Pages>
  <Words>4287</Words>
  <Characters>24442</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13</cp:revision>
  <dcterms:created xsi:type="dcterms:W3CDTF">2022-10-04T10:12:00Z</dcterms:created>
  <dcterms:modified xsi:type="dcterms:W3CDTF">2023-09-15T10:17:00Z</dcterms:modified>
</cp:coreProperties>
</file>